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C" w:rsidRPr="00A3048C" w:rsidRDefault="00A3048C" w:rsidP="00A3048C">
      <w:pPr>
        <w:jc w:val="center"/>
        <w:rPr>
          <w:b/>
          <w:sz w:val="28"/>
          <w:szCs w:val="28"/>
          <w:u w:val="single"/>
        </w:rPr>
      </w:pPr>
      <w:r w:rsidRPr="00A3048C">
        <w:rPr>
          <w:b/>
          <w:sz w:val="28"/>
          <w:szCs w:val="28"/>
          <w:u w:val="single"/>
        </w:rPr>
        <w:t>PROPUESTAS DE NEGOCIACIÓN</w:t>
      </w:r>
    </w:p>
    <w:p w:rsidR="00734FD7" w:rsidRPr="00A3048C" w:rsidRDefault="00043F05" w:rsidP="002E3C2F">
      <w:pPr>
        <w:rPr>
          <w:b/>
          <w:sz w:val="24"/>
          <w:szCs w:val="24"/>
          <w:u w:val="single"/>
        </w:rPr>
      </w:pPr>
      <w:r w:rsidRPr="00A3048C">
        <w:rPr>
          <w:b/>
          <w:sz w:val="24"/>
          <w:szCs w:val="24"/>
          <w:u w:val="single"/>
        </w:rPr>
        <w:t xml:space="preserve">NEGOCIACIÓN DEL </w:t>
      </w:r>
      <w:r w:rsidR="004C4CE9" w:rsidRPr="00A3048C">
        <w:rPr>
          <w:b/>
          <w:sz w:val="24"/>
          <w:szCs w:val="24"/>
          <w:u w:val="single"/>
        </w:rPr>
        <w:t>ART</w:t>
      </w:r>
      <w:r w:rsidR="00391A83">
        <w:rPr>
          <w:b/>
          <w:sz w:val="24"/>
          <w:szCs w:val="24"/>
          <w:u w:val="single"/>
        </w:rPr>
        <w:t>ÍCULO</w:t>
      </w:r>
      <w:r w:rsidR="0083698A" w:rsidRPr="00A3048C">
        <w:rPr>
          <w:b/>
          <w:sz w:val="24"/>
          <w:szCs w:val="24"/>
          <w:u w:val="single"/>
        </w:rPr>
        <w:t xml:space="preserve"> 41</w:t>
      </w:r>
      <w:r w:rsidR="00391A83">
        <w:rPr>
          <w:b/>
          <w:sz w:val="24"/>
          <w:szCs w:val="24"/>
          <w:u w:val="single"/>
        </w:rPr>
        <w:t>:</w:t>
      </w:r>
      <w:r w:rsidR="004C4CE9" w:rsidRPr="00A3048C">
        <w:rPr>
          <w:b/>
          <w:sz w:val="24"/>
          <w:szCs w:val="24"/>
          <w:u w:val="single"/>
        </w:rPr>
        <w:t xml:space="preserve"> Modificación sustancial de condiciones de trabajo</w:t>
      </w:r>
      <w:r w:rsidR="0083698A" w:rsidRPr="00A3048C">
        <w:rPr>
          <w:b/>
          <w:sz w:val="24"/>
          <w:szCs w:val="24"/>
          <w:u w:val="single"/>
        </w:rPr>
        <w:t>.</w:t>
      </w:r>
    </w:p>
    <w:p w:rsidR="00437A5C" w:rsidRDefault="00437A5C" w:rsidP="00391A83">
      <w:pPr>
        <w:jc w:val="both"/>
      </w:pPr>
      <w:r>
        <w:t xml:space="preserve">1.- La </w:t>
      </w:r>
      <w:proofErr w:type="spellStart"/>
      <w:r>
        <w:t>variabilización</w:t>
      </w:r>
      <w:proofErr w:type="spellEnd"/>
      <w:r>
        <w:t xml:space="preserve"> debe ser sobre los conceptos absorbibles que marca el convenio</w:t>
      </w:r>
      <w:r w:rsidR="00A3048C">
        <w:t xml:space="preserve">. Los conceptos de “Salario base”, “Antigüedad” y “Plus Convenio” no </w:t>
      </w:r>
      <w:r w:rsidR="00475FEF">
        <w:t xml:space="preserve">deben sufrir la </w:t>
      </w:r>
      <w:proofErr w:type="spellStart"/>
      <w:r w:rsidR="00475FEF">
        <w:t>variabilización</w:t>
      </w:r>
      <w:proofErr w:type="spellEnd"/>
      <w:r w:rsidR="00A3048C">
        <w:t>.</w:t>
      </w:r>
      <w:r>
        <w:t xml:space="preserve"> </w:t>
      </w:r>
      <w:r w:rsidR="00475FEF">
        <w:t xml:space="preserve">Un trabajador no podrá cobrar menos de </w:t>
      </w:r>
      <w:r>
        <w:t xml:space="preserve">los límites </w:t>
      </w:r>
      <w:r w:rsidR="00475FEF">
        <w:t xml:space="preserve">salariales de su </w:t>
      </w:r>
      <w:r w:rsidR="00A3048C">
        <w:t xml:space="preserve">categoría </w:t>
      </w:r>
      <w:r>
        <w:t>que marca el convenio.</w:t>
      </w:r>
    </w:p>
    <w:p w:rsidR="00475FEF" w:rsidRPr="001A6011" w:rsidRDefault="00475FEF" w:rsidP="00391A83">
      <w:pPr>
        <w:jc w:val="both"/>
      </w:pPr>
      <w:r w:rsidRPr="001A6011">
        <w:t xml:space="preserve">2.- Los </w:t>
      </w:r>
      <w:proofErr w:type="spellStart"/>
      <w:r w:rsidRPr="001A6011">
        <w:t>bonus</w:t>
      </w:r>
      <w:proofErr w:type="spellEnd"/>
      <w:r w:rsidRPr="001A6011">
        <w:t xml:space="preserve"> o variables deben estar incluidos dentro de la </w:t>
      </w:r>
      <w:proofErr w:type="spellStart"/>
      <w:r w:rsidRPr="001A6011">
        <w:t>variabilización</w:t>
      </w:r>
      <w:proofErr w:type="spellEnd"/>
      <w:r w:rsidRPr="001A6011">
        <w:t>, no sólo el salario bruto fijo.</w:t>
      </w:r>
    </w:p>
    <w:p w:rsidR="004F7172" w:rsidRPr="004F7172" w:rsidRDefault="00475FEF" w:rsidP="00391A83">
      <w:pPr>
        <w:jc w:val="both"/>
        <w:rPr>
          <w:rFonts w:eastAsia="Times New Roman" w:cs="Times New Roman"/>
          <w:lang w:eastAsia="es-ES"/>
        </w:rPr>
      </w:pPr>
      <w:r>
        <w:t>3</w:t>
      </w:r>
      <w:r w:rsidR="004F7172" w:rsidRPr="004F7172">
        <w:t xml:space="preserve">.- </w:t>
      </w:r>
      <w:r w:rsidR="004F7172" w:rsidRPr="004F7172">
        <w:rPr>
          <w:rFonts w:eastAsia="Times New Roman" w:cs="Times New Roman"/>
          <w:lang w:eastAsia="es-ES"/>
        </w:rPr>
        <w:t>La reducción va</w:t>
      </w:r>
      <w:r w:rsidR="004F7172">
        <w:rPr>
          <w:rFonts w:eastAsia="Times New Roman" w:cs="Times New Roman"/>
          <w:lang w:eastAsia="es-ES"/>
        </w:rPr>
        <w:t>riable se aplicaría</w:t>
      </w:r>
      <w:r w:rsidR="004F7172" w:rsidRPr="004F7172">
        <w:rPr>
          <w:rFonts w:eastAsia="Times New Roman" w:cs="Times New Roman"/>
          <w:lang w:eastAsia="es-ES"/>
        </w:rPr>
        <w:t xml:space="preserve"> NO separando a los empleados por tramos de salario, sino dividiendo el sal</w:t>
      </w:r>
      <w:r w:rsidR="001A6011">
        <w:rPr>
          <w:rFonts w:eastAsia="Times New Roman" w:cs="Times New Roman"/>
          <w:lang w:eastAsia="es-ES"/>
        </w:rPr>
        <w:t>ario de cada empleado en tramos. Se adjunta un documento Excel con la propuesta.</w:t>
      </w:r>
    </w:p>
    <w:p w:rsidR="002E3C2F" w:rsidRDefault="00475FEF" w:rsidP="00391A83">
      <w:pPr>
        <w:jc w:val="both"/>
      </w:pPr>
      <w:r>
        <w:t>4</w:t>
      </w:r>
      <w:r w:rsidR="004A38BF">
        <w:t xml:space="preserve">.- </w:t>
      </w:r>
      <w:r w:rsidR="00A3048C">
        <w:t>La recuperación de</w:t>
      </w:r>
      <w:r w:rsidR="002E3C2F">
        <w:t xml:space="preserve">l salario </w:t>
      </w:r>
      <w:r w:rsidR="00A3048C">
        <w:t xml:space="preserve">que se ha </w:t>
      </w:r>
      <w:proofErr w:type="spellStart"/>
      <w:r w:rsidR="00A3048C">
        <w:t>variabilizado</w:t>
      </w:r>
      <w:proofErr w:type="spellEnd"/>
      <w:r w:rsidR="00A3048C">
        <w:t xml:space="preserve"> </w:t>
      </w:r>
      <w:r w:rsidR="002E3C2F">
        <w:t>se cobraría</w:t>
      </w:r>
      <w:r w:rsidR="00236EF3">
        <w:t xml:space="preserve"> de manera exponencial, </w:t>
      </w:r>
      <w:r w:rsidR="00A3048C">
        <w:t>en función de la cifra de ventas a fecha 31 de diciembre de 2013</w:t>
      </w:r>
      <w:r w:rsidR="00236EF3">
        <w:t>. Por ejemplo</w:t>
      </w:r>
      <w:r w:rsidR="002E3C2F">
        <w:t>:</w:t>
      </w:r>
    </w:p>
    <w:tbl>
      <w:tblPr>
        <w:tblStyle w:val="Tablaconcuadrcula"/>
        <w:tblW w:w="0" w:type="auto"/>
        <w:tblLook w:val="04A0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2E3C2F" w:rsidTr="002E3C2F">
        <w:tc>
          <w:tcPr>
            <w:tcW w:w="1515" w:type="dxa"/>
          </w:tcPr>
          <w:p w:rsidR="002E3C2F" w:rsidRDefault="002E3C2F" w:rsidP="002E3C2F">
            <w:r>
              <w:t>Millones de €</w:t>
            </w:r>
          </w:p>
        </w:tc>
        <w:tc>
          <w:tcPr>
            <w:tcW w:w="1515" w:type="dxa"/>
          </w:tcPr>
          <w:p w:rsidR="002E3C2F" w:rsidRDefault="004A38BF" w:rsidP="002E3C2F">
            <w:r>
              <w:t>61</w:t>
            </w:r>
          </w:p>
        </w:tc>
        <w:tc>
          <w:tcPr>
            <w:tcW w:w="1515" w:type="dxa"/>
          </w:tcPr>
          <w:p w:rsidR="002E3C2F" w:rsidRDefault="004A38BF" w:rsidP="004A38BF">
            <w:r>
              <w:t>60</w:t>
            </w:r>
          </w:p>
        </w:tc>
        <w:tc>
          <w:tcPr>
            <w:tcW w:w="1515" w:type="dxa"/>
          </w:tcPr>
          <w:p w:rsidR="002E3C2F" w:rsidRDefault="004A38BF" w:rsidP="004A38BF">
            <w:r>
              <w:t>59</w:t>
            </w:r>
          </w:p>
        </w:tc>
        <w:tc>
          <w:tcPr>
            <w:tcW w:w="1515" w:type="dxa"/>
          </w:tcPr>
          <w:p w:rsidR="002E3C2F" w:rsidRDefault="002E3C2F" w:rsidP="002E3C2F">
            <w:r>
              <w:t>5</w:t>
            </w:r>
            <w:r w:rsidR="004A38BF">
              <w:t>8</w:t>
            </w:r>
          </w:p>
        </w:tc>
        <w:tc>
          <w:tcPr>
            <w:tcW w:w="1515" w:type="dxa"/>
          </w:tcPr>
          <w:p w:rsidR="002E3C2F" w:rsidRDefault="002E3C2F" w:rsidP="002E3C2F">
            <w:r>
              <w:t>5</w:t>
            </w:r>
            <w:r w:rsidR="004A38BF">
              <w:t>7</w:t>
            </w:r>
          </w:p>
        </w:tc>
        <w:tc>
          <w:tcPr>
            <w:tcW w:w="1516" w:type="dxa"/>
          </w:tcPr>
          <w:p w:rsidR="002E3C2F" w:rsidRDefault="002E3C2F" w:rsidP="004A38BF">
            <w:r>
              <w:t>5</w:t>
            </w:r>
            <w:r w:rsidR="004A38BF">
              <w:t>6</w:t>
            </w:r>
          </w:p>
        </w:tc>
      </w:tr>
      <w:tr w:rsidR="002E3C2F" w:rsidTr="002E3C2F">
        <w:tc>
          <w:tcPr>
            <w:tcW w:w="1515" w:type="dxa"/>
          </w:tcPr>
          <w:p w:rsidR="002E3C2F" w:rsidRDefault="002E3C2F" w:rsidP="002E3C2F">
            <w:r>
              <w:t>Variable</w:t>
            </w:r>
          </w:p>
        </w:tc>
        <w:tc>
          <w:tcPr>
            <w:tcW w:w="1515" w:type="dxa"/>
          </w:tcPr>
          <w:p w:rsidR="002E3C2F" w:rsidRDefault="002E3C2F" w:rsidP="002E3C2F">
            <w:r>
              <w:t>100%</w:t>
            </w:r>
          </w:p>
        </w:tc>
        <w:tc>
          <w:tcPr>
            <w:tcW w:w="1515" w:type="dxa"/>
          </w:tcPr>
          <w:p w:rsidR="002E3C2F" w:rsidRDefault="002E3C2F" w:rsidP="002E3C2F">
            <w:r>
              <w:t>90%</w:t>
            </w:r>
          </w:p>
        </w:tc>
        <w:tc>
          <w:tcPr>
            <w:tcW w:w="1515" w:type="dxa"/>
          </w:tcPr>
          <w:p w:rsidR="002E3C2F" w:rsidRDefault="002E3C2F" w:rsidP="002E3C2F">
            <w:r>
              <w:t>80%</w:t>
            </w:r>
          </w:p>
        </w:tc>
        <w:tc>
          <w:tcPr>
            <w:tcW w:w="1515" w:type="dxa"/>
          </w:tcPr>
          <w:p w:rsidR="002E3C2F" w:rsidRDefault="002E3C2F" w:rsidP="002E3C2F">
            <w:r>
              <w:t>70%</w:t>
            </w:r>
          </w:p>
        </w:tc>
        <w:tc>
          <w:tcPr>
            <w:tcW w:w="1515" w:type="dxa"/>
          </w:tcPr>
          <w:p w:rsidR="002E3C2F" w:rsidRDefault="002E3C2F" w:rsidP="002E3C2F">
            <w:r>
              <w:t>60%</w:t>
            </w:r>
          </w:p>
        </w:tc>
        <w:tc>
          <w:tcPr>
            <w:tcW w:w="1516" w:type="dxa"/>
          </w:tcPr>
          <w:p w:rsidR="002E3C2F" w:rsidRDefault="002E3C2F" w:rsidP="002E3C2F">
            <w:r>
              <w:t>50%</w:t>
            </w:r>
          </w:p>
        </w:tc>
      </w:tr>
    </w:tbl>
    <w:p w:rsidR="002E3C2F" w:rsidRDefault="002E3C2F" w:rsidP="002E3C2F"/>
    <w:tbl>
      <w:tblPr>
        <w:tblStyle w:val="Tablaconcuadrcula"/>
        <w:tblW w:w="0" w:type="auto"/>
        <w:tblLook w:val="04A0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2E3C2F" w:rsidTr="00EB1335">
        <w:tc>
          <w:tcPr>
            <w:tcW w:w="1515" w:type="dxa"/>
          </w:tcPr>
          <w:p w:rsidR="002E3C2F" w:rsidRDefault="002E3C2F" w:rsidP="00EB1335">
            <w:r>
              <w:t>Millones de €</w:t>
            </w:r>
          </w:p>
        </w:tc>
        <w:tc>
          <w:tcPr>
            <w:tcW w:w="1515" w:type="dxa"/>
          </w:tcPr>
          <w:p w:rsidR="002E3C2F" w:rsidRDefault="002E3C2F" w:rsidP="004A38BF">
            <w:r>
              <w:t>6</w:t>
            </w:r>
            <w:r w:rsidR="004A38BF">
              <w:t>2</w:t>
            </w:r>
          </w:p>
        </w:tc>
        <w:tc>
          <w:tcPr>
            <w:tcW w:w="1515" w:type="dxa"/>
          </w:tcPr>
          <w:p w:rsidR="002E3C2F" w:rsidRDefault="002E3C2F" w:rsidP="004A38BF">
            <w:r>
              <w:t>6</w:t>
            </w:r>
            <w:r w:rsidR="004A38BF">
              <w:t>3</w:t>
            </w:r>
          </w:p>
        </w:tc>
        <w:tc>
          <w:tcPr>
            <w:tcW w:w="1515" w:type="dxa"/>
          </w:tcPr>
          <w:p w:rsidR="002E3C2F" w:rsidRDefault="002E3C2F" w:rsidP="004A38BF">
            <w:r>
              <w:t>6</w:t>
            </w:r>
            <w:r w:rsidR="004A38BF">
              <w:t>4</w:t>
            </w:r>
          </w:p>
        </w:tc>
        <w:tc>
          <w:tcPr>
            <w:tcW w:w="1515" w:type="dxa"/>
          </w:tcPr>
          <w:p w:rsidR="002E3C2F" w:rsidRDefault="002E3C2F" w:rsidP="004A38BF">
            <w:r>
              <w:t>6</w:t>
            </w:r>
            <w:r w:rsidR="004A38BF">
              <w:t>5</w:t>
            </w:r>
          </w:p>
        </w:tc>
        <w:tc>
          <w:tcPr>
            <w:tcW w:w="1515" w:type="dxa"/>
          </w:tcPr>
          <w:p w:rsidR="002E3C2F" w:rsidRDefault="002E3C2F" w:rsidP="004A38BF">
            <w:r>
              <w:t>6</w:t>
            </w:r>
            <w:r w:rsidR="004A38BF">
              <w:t>6</w:t>
            </w:r>
          </w:p>
        </w:tc>
        <w:tc>
          <w:tcPr>
            <w:tcW w:w="1516" w:type="dxa"/>
          </w:tcPr>
          <w:p w:rsidR="002E3C2F" w:rsidRDefault="002E3C2F" w:rsidP="004A38BF">
            <w:r>
              <w:t>6</w:t>
            </w:r>
            <w:r w:rsidR="004A38BF">
              <w:t>7</w:t>
            </w:r>
          </w:p>
        </w:tc>
      </w:tr>
      <w:tr w:rsidR="002E3C2F" w:rsidTr="00EB1335">
        <w:tc>
          <w:tcPr>
            <w:tcW w:w="1515" w:type="dxa"/>
          </w:tcPr>
          <w:p w:rsidR="002E3C2F" w:rsidRDefault="002E3C2F" w:rsidP="00EB1335">
            <w:r>
              <w:t>Variable</w:t>
            </w:r>
          </w:p>
        </w:tc>
        <w:tc>
          <w:tcPr>
            <w:tcW w:w="1515" w:type="dxa"/>
          </w:tcPr>
          <w:p w:rsidR="002E3C2F" w:rsidRDefault="004A38BF" w:rsidP="00EB1335">
            <w:r>
              <w:t>150</w:t>
            </w:r>
            <w:r w:rsidR="002E3C2F">
              <w:t>%</w:t>
            </w:r>
          </w:p>
        </w:tc>
        <w:tc>
          <w:tcPr>
            <w:tcW w:w="1515" w:type="dxa"/>
          </w:tcPr>
          <w:p w:rsidR="002E3C2F" w:rsidRDefault="004A38BF" w:rsidP="004A38BF">
            <w:r>
              <w:t>175</w:t>
            </w:r>
            <w:r w:rsidR="002E3C2F">
              <w:t>%</w:t>
            </w:r>
          </w:p>
        </w:tc>
        <w:tc>
          <w:tcPr>
            <w:tcW w:w="1515" w:type="dxa"/>
          </w:tcPr>
          <w:p w:rsidR="002E3C2F" w:rsidRDefault="004A38BF" w:rsidP="00EB1335">
            <w:r>
              <w:t>200</w:t>
            </w:r>
            <w:r w:rsidR="002E3C2F">
              <w:t>%</w:t>
            </w:r>
          </w:p>
        </w:tc>
        <w:tc>
          <w:tcPr>
            <w:tcW w:w="1515" w:type="dxa"/>
          </w:tcPr>
          <w:p w:rsidR="002E3C2F" w:rsidRDefault="004A38BF" w:rsidP="004A38BF">
            <w:r>
              <w:t>225</w:t>
            </w:r>
            <w:r w:rsidR="002E3C2F">
              <w:t>%</w:t>
            </w:r>
          </w:p>
        </w:tc>
        <w:tc>
          <w:tcPr>
            <w:tcW w:w="1515" w:type="dxa"/>
          </w:tcPr>
          <w:p w:rsidR="002E3C2F" w:rsidRDefault="004A38BF" w:rsidP="00EB1335">
            <w:r>
              <w:t>250</w:t>
            </w:r>
            <w:r w:rsidR="002E3C2F">
              <w:t>%</w:t>
            </w:r>
          </w:p>
        </w:tc>
        <w:tc>
          <w:tcPr>
            <w:tcW w:w="1516" w:type="dxa"/>
          </w:tcPr>
          <w:p w:rsidR="002E3C2F" w:rsidRDefault="004A38BF" w:rsidP="004A38BF">
            <w:r>
              <w:t>275</w:t>
            </w:r>
            <w:r w:rsidR="002E3C2F">
              <w:t>%</w:t>
            </w:r>
          </w:p>
        </w:tc>
      </w:tr>
    </w:tbl>
    <w:p w:rsidR="002E3C2F" w:rsidRDefault="002E3C2F" w:rsidP="002E3C2F"/>
    <w:p w:rsidR="004A38BF" w:rsidRDefault="00475FEF" w:rsidP="00391A83">
      <w:pPr>
        <w:jc w:val="both"/>
      </w:pPr>
      <w:r>
        <w:t>5</w:t>
      </w:r>
      <w:r w:rsidR="004A38BF">
        <w:t xml:space="preserve">.- </w:t>
      </w:r>
      <w:r>
        <w:t xml:space="preserve">La </w:t>
      </w:r>
      <w:proofErr w:type="spellStart"/>
      <w:r>
        <w:t>variabilización</w:t>
      </w:r>
      <w:proofErr w:type="spellEnd"/>
      <w:r>
        <w:t xml:space="preserve"> nunca puede estar sujeta</w:t>
      </w:r>
      <w:r w:rsidR="004A38BF">
        <w:t xml:space="preserve"> a</w:t>
      </w:r>
      <w:r w:rsidR="00391A83">
        <w:t>l porcentaje</w:t>
      </w:r>
      <w:r w:rsidR="004A38BF">
        <w:t xml:space="preserve"> </w:t>
      </w:r>
      <w:r w:rsidR="00391A83">
        <w:t xml:space="preserve">de </w:t>
      </w:r>
      <w:proofErr w:type="spellStart"/>
      <w:r w:rsidR="00391A83">
        <w:t>Intercontrato</w:t>
      </w:r>
      <w:proofErr w:type="spellEnd"/>
      <w:r w:rsidR="00391A83">
        <w:t xml:space="preserve"> </w:t>
      </w:r>
      <w:r w:rsidR="004A38BF">
        <w:t xml:space="preserve">ni a </w:t>
      </w:r>
      <w:r w:rsidR="00A3048C">
        <w:t xml:space="preserve">ningún otro concepto </w:t>
      </w:r>
      <w:r w:rsidR="004A38BF">
        <w:t xml:space="preserve">que </w:t>
      </w:r>
      <w:r w:rsidR="00A3048C">
        <w:t xml:space="preserve">pueda ser </w:t>
      </w:r>
      <w:r w:rsidR="004A38BF">
        <w:t>manipulado por la empresa.</w:t>
      </w:r>
    </w:p>
    <w:p w:rsidR="0083698A" w:rsidRPr="00581528" w:rsidRDefault="00475FEF" w:rsidP="00391A83">
      <w:pPr>
        <w:jc w:val="both"/>
        <w:rPr>
          <w:color w:val="4F6228" w:themeColor="accent3" w:themeShade="80"/>
        </w:rPr>
      </w:pPr>
      <w:r>
        <w:t>6</w:t>
      </w:r>
      <w:r w:rsidR="004A38BF">
        <w:t>.- La durabilidad tiene que estar  limitada a 3</w:t>
      </w:r>
      <w:r w:rsidR="003F486E">
        <w:t xml:space="preserve">1 de Diciembre de 2013 </w:t>
      </w:r>
      <w:r w:rsidR="008762F7">
        <w:t>(sin prórroga automática por parte de la empresa)</w:t>
      </w:r>
      <w:r w:rsidR="00342650">
        <w:t>.</w:t>
      </w:r>
      <w:r w:rsidR="005D1FD1">
        <w:t xml:space="preserve"> </w:t>
      </w:r>
      <w:r w:rsidR="0078773C" w:rsidRPr="00391A83">
        <w:rPr>
          <w:color w:val="000000" w:themeColor="text1"/>
        </w:rPr>
        <w:t xml:space="preserve">En caso de requerirse su revisión para 2014, la negociación no debe empezar antes del 10 de enero y debe empezar, como mínimo, con dos semanas de antelación a la presentación </w:t>
      </w:r>
      <w:r w:rsidR="005F4ED4">
        <w:rPr>
          <w:color w:val="000000" w:themeColor="text1"/>
        </w:rPr>
        <w:t xml:space="preserve">formal </w:t>
      </w:r>
      <w:r>
        <w:rPr>
          <w:color w:val="000000" w:themeColor="text1"/>
        </w:rPr>
        <w:t xml:space="preserve">por parte de la empresa </w:t>
      </w:r>
      <w:r w:rsidR="005F4ED4">
        <w:rPr>
          <w:color w:val="000000" w:themeColor="text1"/>
        </w:rPr>
        <w:t>ante la Autoridad Laboral de las nuevas MSCT</w:t>
      </w:r>
      <w:r w:rsidR="0078773C" w:rsidRPr="00391A83">
        <w:rPr>
          <w:color w:val="000000" w:themeColor="text1"/>
        </w:rPr>
        <w:t xml:space="preserve">. </w:t>
      </w:r>
    </w:p>
    <w:p w:rsidR="00E24C65" w:rsidRPr="00E24C65" w:rsidRDefault="00437A5C" w:rsidP="00391A83">
      <w:pPr>
        <w:jc w:val="both"/>
        <w:rPr>
          <w:color w:val="FF0000"/>
        </w:rPr>
      </w:pPr>
      <w:r>
        <w:t>6</w:t>
      </w:r>
      <w:r w:rsidR="008762F7">
        <w:t xml:space="preserve">.- </w:t>
      </w:r>
      <w:r w:rsidR="00391A83">
        <w:t xml:space="preserve">Mientras dure la </w:t>
      </w:r>
      <w:proofErr w:type="spellStart"/>
      <w:r w:rsidR="00391A83">
        <w:t>variabilización</w:t>
      </w:r>
      <w:proofErr w:type="spellEnd"/>
      <w:r w:rsidR="00391A83">
        <w:t>, l</w:t>
      </w:r>
      <w:r w:rsidR="008762F7">
        <w:t xml:space="preserve">a empresa debe garantizar que no se </w:t>
      </w:r>
      <w:r w:rsidR="00391A83">
        <w:t xml:space="preserve">producirán </w:t>
      </w:r>
      <w:r w:rsidR="008762F7">
        <w:t xml:space="preserve">despidos objetivos </w:t>
      </w:r>
      <w:r w:rsidR="00391A83">
        <w:t xml:space="preserve">ni </w:t>
      </w:r>
      <w:r w:rsidR="00391A83" w:rsidRPr="00391A83">
        <w:rPr>
          <w:color w:val="000000" w:themeColor="text1"/>
        </w:rPr>
        <w:t xml:space="preserve">presentará </w:t>
      </w:r>
      <w:proofErr w:type="spellStart"/>
      <w:r w:rsidR="00391A83" w:rsidRPr="00391A83">
        <w:rPr>
          <w:color w:val="000000" w:themeColor="text1"/>
        </w:rPr>
        <w:t>EREs</w:t>
      </w:r>
      <w:proofErr w:type="spellEnd"/>
      <w:r w:rsidR="00391A83" w:rsidRPr="00391A83">
        <w:rPr>
          <w:color w:val="000000" w:themeColor="text1"/>
        </w:rPr>
        <w:t xml:space="preserve"> o </w:t>
      </w:r>
      <w:proofErr w:type="spellStart"/>
      <w:r w:rsidR="00391A83" w:rsidRPr="00391A83">
        <w:rPr>
          <w:color w:val="000000" w:themeColor="text1"/>
        </w:rPr>
        <w:t>ERTEs</w:t>
      </w:r>
      <w:proofErr w:type="spellEnd"/>
      <w:r w:rsidR="008762F7" w:rsidRPr="00391A83">
        <w:rPr>
          <w:color w:val="000000" w:themeColor="text1"/>
        </w:rPr>
        <w:t>.</w:t>
      </w:r>
      <w:r w:rsidR="008C4885" w:rsidRPr="00391A83">
        <w:rPr>
          <w:color w:val="000000" w:themeColor="text1"/>
        </w:rPr>
        <w:t xml:space="preserve"> </w:t>
      </w:r>
      <w:r w:rsidR="00391A83" w:rsidRPr="00391A83">
        <w:rPr>
          <w:color w:val="000000" w:themeColor="text1"/>
        </w:rPr>
        <w:t>S</w:t>
      </w:r>
      <w:r w:rsidR="008C4885" w:rsidRPr="00391A83">
        <w:rPr>
          <w:color w:val="000000" w:themeColor="text1"/>
        </w:rPr>
        <w:t xml:space="preserve">i </w:t>
      </w:r>
      <w:r w:rsidR="00391A83" w:rsidRPr="00391A83">
        <w:rPr>
          <w:color w:val="000000" w:themeColor="text1"/>
        </w:rPr>
        <w:t xml:space="preserve">se produce </w:t>
      </w:r>
      <w:r w:rsidR="008C4885" w:rsidRPr="00391A83">
        <w:rPr>
          <w:color w:val="000000" w:themeColor="text1"/>
        </w:rPr>
        <w:t xml:space="preserve">algún despido </w:t>
      </w:r>
      <w:r w:rsidR="00391A83" w:rsidRPr="00391A83">
        <w:rPr>
          <w:color w:val="000000" w:themeColor="text1"/>
        </w:rPr>
        <w:t xml:space="preserve">improcedente </w:t>
      </w:r>
      <w:r w:rsidR="008C4885" w:rsidRPr="00391A83">
        <w:rPr>
          <w:color w:val="000000" w:themeColor="text1"/>
        </w:rPr>
        <w:t xml:space="preserve">mientras dure la </w:t>
      </w:r>
      <w:proofErr w:type="spellStart"/>
      <w:r w:rsidR="008C4885" w:rsidRPr="00391A83">
        <w:rPr>
          <w:color w:val="000000" w:themeColor="text1"/>
        </w:rPr>
        <w:t>variabilización</w:t>
      </w:r>
      <w:proofErr w:type="spellEnd"/>
      <w:r w:rsidR="00391A83" w:rsidRPr="00391A83">
        <w:rPr>
          <w:color w:val="000000" w:themeColor="text1"/>
        </w:rPr>
        <w:t>, la indemnización  se calculará sobre</w:t>
      </w:r>
      <w:r w:rsidR="008C4885" w:rsidRPr="00391A83">
        <w:rPr>
          <w:color w:val="000000" w:themeColor="text1"/>
        </w:rPr>
        <w:t xml:space="preserve"> el salario original, no </w:t>
      </w:r>
      <w:r w:rsidR="00391A83" w:rsidRPr="00391A83">
        <w:rPr>
          <w:color w:val="000000" w:themeColor="text1"/>
        </w:rPr>
        <w:t xml:space="preserve">con </w:t>
      </w:r>
      <w:r w:rsidR="008C4885" w:rsidRPr="00391A83">
        <w:rPr>
          <w:color w:val="000000" w:themeColor="text1"/>
        </w:rPr>
        <w:t>el salario “</w:t>
      </w:r>
      <w:proofErr w:type="spellStart"/>
      <w:r w:rsidR="008C4885" w:rsidRPr="00391A83">
        <w:rPr>
          <w:color w:val="000000" w:themeColor="text1"/>
        </w:rPr>
        <w:t>variabilizado</w:t>
      </w:r>
      <w:proofErr w:type="spellEnd"/>
      <w:r w:rsidR="008C4885" w:rsidRPr="00391A83">
        <w:rPr>
          <w:color w:val="000000" w:themeColor="text1"/>
        </w:rPr>
        <w:t>”.</w:t>
      </w:r>
      <w:r w:rsidR="002D5611" w:rsidRPr="00391A83">
        <w:rPr>
          <w:color w:val="000000" w:themeColor="text1"/>
        </w:rPr>
        <w:t xml:space="preserve"> </w:t>
      </w:r>
      <w:r w:rsidR="00E24C65" w:rsidRPr="001A6011">
        <w:t xml:space="preserve">Y el trabajador despedido de manera improcedente recuperaría las cantidades </w:t>
      </w:r>
      <w:proofErr w:type="spellStart"/>
      <w:r w:rsidR="00E24C65" w:rsidRPr="001A6011">
        <w:t>variabilizadas</w:t>
      </w:r>
      <w:proofErr w:type="spellEnd"/>
      <w:r w:rsidR="00E24C65" w:rsidRPr="001A6011">
        <w:t xml:space="preserve"> con carácter retroactivo.</w:t>
      </w:r>
    </w:p>
    <w:p w:rsidR="005F4ED4" w:rsidRPr="001A6011" w:rsidRDefault="005F4ED4" w:rsidP="00391A83">
      <w:pPr>
        <w:jc w:val="both"/>
      </w:pPr>
      <w:r w:rsidRPr="001A6011">
        <w:t xml:space="preserve">7.- Los trabajadores que entraron en la compañía con posterioridad al </w:t>
      </w:r>
      <w:r w:rsidR="009842BC">
        <w:t xml:space="preserve">18 de diciembre </w:t>
      </w:r>
      <w:r w:rsidRPr="001A6011">
        <w:t>de 2012 no se verán afectados por la MSCT.</w:t>
      </w:r>
    </w:p>
    <w:p w:rsidR="0083698A" w:rsidRDefault="00B538CA" w:rsidP="00391A83">
      <w:pPr>
        <w:jc w:val="both"/>
      </w:pPr>
      <w:r>
        <w:t>8</w:t>
      </w:r>
      <w:r w:rsidR="0083698A">
        <w:t xml:space="preserve">.- Se creará </w:t>
      </w:r>
      <w:r w:rsidR="003F486E">
        <w:t xml:space="preserve">una comisión de seguimiento </w:t>
      </w:r>
      <w:r w:rsidR="00391A83">
        <w:t xml:space="preserve">de estas MSCT con participación paritaria de la empresa y de la RLT. Esta comisión </w:t>
      </w:r>
      <w:r w:rsidR="003F486E">
        <w:t xml:space="preserve">se reunirá </w:t>
      </w:r>
      <w:r w:rsidR="00391A83">
        <w:t>mensualmente</w:t>
      </w:r>
      <w:r w:rsidR="005F4ED4">
        <w:t xml:space="preserve">. Su labor será la de vigilar que se cumplen los acuerdos alcanzados disponiendo de la información necesaria para cumplir este seguimiento (comprobación de </w:t>
      </w:r>
      <w:proofErr w:type="spellStart"/>
      <w:r w:rsidR="005F4ED4">
        <w:t>variabilización</w:t>
      </w:r>
      <w:proofErr w:type="spellEnd"/>
      <w:r w:rsidR="005F4ED4">
        <w:t xml:space="preserve"> en nóminas, balances de situación de la empresa mensuales, </w:t>
      </w:r>
      <w:r w:rsidR="00391A83">
        <w:t xml:space="preserve"> </w:t>
      </w:r>
      <w:r w:rsidR="005F4ED4">
        <w:t xml:space="preserve">etc.). </w:t>
      </w:r>
    </w:p>
    <w:p w:rsidR="00B5107C" w:rsidRPr="002D3E44" w:rsidRDefault="00B5107C" w:rsidP="00B5107C">
      <w:pPr>
        <w:jc w:val="both"/>
        <w:rPr>
          <w:color w:val="000000" w:themeColor="text1"/>
        </w:rPr>
      </w:pPr>
      <w:r>
        <w:t xml:space="preserve">9.- </w:t>
      </w:r>
      <w:r w:rsidRPr="00B5107C">
        <w:t xml:space="preserve">Se creará una comisión de seguimiento de los </w:t>
      </w:r>
      <w:proofErr w:type="spellStart"/>
      <w:r w:rsidRPr="00B5107C">
        <w:t>ICs</w:t>
      </w:r>
      <w:proofErr w:type="spellEnd"/>
      <w:r>
        <w:t xml:space="preserve"> donde tenga representación la empresa y la RLT.  </w:t>
      </w:r>
      <w:r w:rsidRPr="002D3E44">
        <w:rPr>
          <w:color w:val="000000" w:themeColor="text1"/>
        </w:rPr>
        <w:t xml:space="preserve">Esta comisión se encargaría de que los </w:t>
      </w:r>
      <w:proofErr w:type="spellStart"/>
      <w:r w:rsidRPr="002D3E44">
        <w:rPr>
          <w:color w:val="000000" w:themeColor="text1"/>
        </w:rPr>
        <w:t>ICs</w:t>
      </w:r>
      <w:proofErr w:type="spellEnd"/>
      <w:r w:rsidRPr="002D3E44">
        <w:rPr>
          <w:color w:val="000000" w:themeColor="text1"/>
        </w:rPr>
        <w:t xml:space="preserve"> tuviesen la formación adecuada y demandada en el mercado. También podrían ayudar en la Plataforma Técnica. Los </w:t>
      </w:r>
      <w:proofErr w:type="spellStart"/>
      <w:r w:rsidRPr="002D3E44">
        <w:rPr>
          <w:color w:val="000000" w:themeColor="text1"/>
        </w:rPr>
        <w:t>ICs</w:t>
      </w:r>
      <w:proofErr w:type="spellEnd"/>
      <w:r w:rsidRPr="002D3E44">
        <w:rPr>
          <w:color w:val="000000" w:themeColor="text1"/>
        </w:rPr>
        <w:t xml:space="preserve"> no deben contar como </w:t>
      </w:r>
      <w:proofErr w:type="spellStart"/>
      <w:r w:rsidRPr="002D3E44">
        <w:rPr>
          <w:color w:val="000000" w:themeColor="text1"/>
        </w:rPr>
        <w:t>ICs</w:t>
      </w:r>
      <w:proofErr w:type="spellEnd"/>
      <w:r w:rsidRPr="002D3E44">
        <w:rPr>
          <w:color w:val="000000" w:themeColor="text1"/>
        </w:rPr>
        <w:t xml:space="preserve"> mientras se les esté formando o estén elaborando material de formación para otros trabajadores o haciendo de profesores. Objetivo: fomentar la formación.</w:t>
      </w:r>
      <w:r w:rsidR="001C587C">
        <w:rPr>
          <w:color w:val="000000" w:themeColor="text1"/>
        </w:rPr>
        <w:t xml:space="preserve"> Adjuntamos un informe completo con esas propuestas.</w:t>
      </w:r>
    </w:p>
    <w:p w:rsidR="001C587C" w:rsidRDefault="00B5107C" w:rsidP="005C4F59">
      <w:pPr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5C4F59" w:rsidRPr="005C4F59">
        <w:rPr>
          <w:color w:val="000000" w:themeColor="text1"/>
        </w:rPr>
        <w:t xml:space="preserve">.- Complementación de las bajas: </w:t>
      </w:r>
      <w:r w:rsidR="001C587C">
        <w:rPr>
          <w:color w:val="000000" w:themeColor="text1"/>
        </w:rPr>
        <w:t>mantenimiento de la situación actual, complementación al 100% desde el primer día.</w:t>
      </w:r>
    </w:p>
    <w:p w:rsidR="00356F30" w:rsidRDefault="00356F30" w:rsidP="002E3C2F">
      <w:pPr>
        <w:rPr>
          <w:b/>
          <w:sz w:val="24"/>
          <w:szCs w:val="24"/>
          <w:u w:val="single"/>
        </w:rPr>
      </w:pPr>
    </w:p>
    <w:p w:rsidR="00043F05" w:rsidRPr="00667086" w:rsidRDefault="00354107" w:rsidP="002E3C2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OTRAS MEDIDAS</w:t>
      </w:r>
      <w:r w:rsidR="00667086">
        <w:rPr>
          <w:b/>
          <w:sz w:val="24"/>
          <w:szCs w:val="24"/>
          <w:u w:val="single"/>
        </w:rPr>
        <w:t>.</w:t>
      </w:r>
    </w:p>
    <w:p w:rsidR="004C4CE9" w:rsidRDefault="00043F05" w:rsidP="00667086">
      <w:pPr>
        <w:jc w:val="both"/>
      </w:pPr>
      <w:r>
        <w:t xml:space="preserve">1.- </w:t>
      </w:r>
      <w:r w:rsidR="00437A5C">
        <w:t>Si se llega a un acuerdo</w:t>
      </w:r>
      <w:r w:rsidR="00667086">
        <w:t xml:space="preserve"> sobre la MSCT</w:t>
      </w:r>
      <w:r w:rsidR="00437A5C">
        <w:t xml:space="preserve">, </w:t>
      </w:r>
      <w:r w:rsidR="00667086">
        <w:t xml:space="preserve">la empresa </w:t>
      </w:r>
      <w:r w:rsidR="00475FEF">
        <w:t xml:space="preserve">abonará el salario </w:t>
      </w:r>
      <w:r>
        <w:t xml:space="preserve">de los dos días de huelga a los trabajadores que la hayan </w:t>
      </w:r>
      <w:r w:rsidR="00475FEF">
        <w:t>secundado</w:t>
      </w:r>
      <w:r>
        <w:t>.</w:t>
      </w:r>
    </w:p>
    <w:p w:rsidR="00E24C65" w:rsidRPr="002143BA" w:rsidRDefault="00E24C65" w:rsidP="00667086">
      <w:pPr>
        <w:jc w:val="both"/>
      </w:pPr>
      <w:r w:rsidRPr="002143BA">
        <w:t xml:space="preserve">2.- A cambio de la </w:t>
      </w:r>
      <w:proofErr w:type="spellStart"/>
      <w:r w:rsidRPr="002143BA">
        <w:t>variabilización</w:t>
      </w:r>
      <w:proofErr w:type="spellEnd"/>
      <w:r w:rsidRPr="002143BA">
        <w:t xml:space="preserve">, la empresa podría </w:t>
      </w:r>
      <w:r w:rsidR="001C587C">
        <w:t xml:space="preserve">conceder </w:t>
      </w:r>
      <w:r w:rsidRPr="002143BA">
        <w:t>3 días de libre disposición.</w:t>
      </w:r>
      <w:r w:rsidR="001C587C">
        <w:t xml:space="preserve"> Estos días no serían recuperables y se cobraría el 100% de todos los conceptos salariales de estos días.</w:t>
      </w:r>
    </w:p>
    <w:p w:rsidR="00354107" w:rsidRPr="002143BA" w:rsidRDefault="00354107" w:rsidP="00667086">
      <w:pPr>
        <w:jc w:val="both"/>
      </w:pPr>
      <w:r w:rsidRPr="002143BA">
        <w:t xml:space="preserve">3.- Incentivar el teletrabajo. Si un trabajador lo solicita y el cliente está conforme, </w:t>
      </w:r>
      <w:r w:rsidR="00E85E2D" w:rsidRPr="002143BA">
        <w:t xml:space="preserve">o el trabajador está en </w:t>
      </w:r>
      <w:proofErr w:type="spellStart"/>
      <w:r w:rsidR="00E85E2D" w:rsidRPr="002143BA">
        <w:t>Intercontrato</w:t>
      </w:r>
      <w:proofErr w:type="spellEnd"/>
      <w:r w:rsidR="00E85E2D" w:rsidRPr="002143BA">
        <w:t xml:space="preserve">, </w:t>
      </w:r>
      <w:r w:rsidRPr="002143BA">
        <w:t>la empresa no podría negarse. Crear un acuerdo sobre teletrabajo.</w:t>
      </w:r>
    </w:p>
    <w:p w:rsidR="00354107" w:rsidRPr="002143BA" w:rsidRDefault="00354107" w:rsidP="00667086">
      <w:pPr>
        <w:jc w:val="both"/>
      </w:pPr>
      <w:r w:rsidRPr="002143BA">
        <w:t>4.- Eliminar la gratuidad de las plazas de parking. El trabajador que quiera tener una plaza, que la abone.</w:t>
      </w:r>
    </w:p>
    <w:p w:rsidR="00354107" w:rsidRPr="002143BA" w:rsidRDefault="00354107" w:rsidP="00667086">
      <w:pPr>
        <w:jc w:val="both"/>
      </w:pPr>
      <w:r w:rsidRPr="002143BA">
        <w:t xml:space="preserve">5.- Eliminación de horas extras. Información mensual REAL a la comisión de seguimiento de las horas extras que se realicen. </w:t>
      </w:r>
    </w:p>
    <w:p w:rsidR="00354107" w:rsidRPr="002143BA" w:rsidRDefault="00354107" w:rsidP="00667086">
      <w:pPr>
        <w:jc w:val="both"/>
      </w:pPr>
      <w:r w:rsidRPr="002143BA">
        <w:t xml:space="preserve">6.- Reducciones de jornada o jornada continuada a aquellos trabajadores que la pidan y que </w:t>
      </w:r>
      <w:r w:rsidR="00E85E2D" w:rsidRPr="002143BA">
        <w:t>no afecte al desarrollo de su trabajo en cliente.</w:t>
      </w:r>
    </w:p>
    <w:p w:rsidR="00E85E2D" w:rsidRDefault="00E85E2D" w:rsidP="00667086">
      <w:pPr>
        <w:jc w:val="both"/>
      </w:pPr>
      <w:r w:rsidRPr="002143BA">
        <w:t>7.- Posibilidad de excedencias sin sueldo con garantía de mantenimiento de trabajo mientras dure la MSCT.</w:t>
      </w:r>
    </w:p>
    <w:p w:rsidR="00565513" w:rsidRDefault="00565513" w:rsidP="00667086">
      <w:pPr>
        <w:jc w:val="both"/>
      </w:pPr>
      <w:r>
        <w:t>8.- Fomentar los permisos voluntarios sin sueldo</w:t>
      </w:r>
      <w:r w:rsidR="004B678C">
        <w:t xml:space="preserve"> (Art. 23 del Convenio)</w:t>
      </w:r>
      <w:r>
        <w:t>.</w:t>
      </w:r>
    </w:p>
    <w:p w:rsidR="008D7687" w:rsidRPr="002143BA" w:rsidRDefault="008D7687" w:rsidP="00667086">
      <w:pPr>
        <w:jc w:val="both"/>
      </w:pPr>
      <w:r>
        <w:t>9.- Cuando entre un trabajador nuevo en la empresa, se entregará a la RLT junto con la copia básica de su contrato su dirección de correo corporativo. Puesta al día de los trabajadores actualmente activos.</w:t>
      </w:r>
    </w:p>
    <w:p w:rsidR="0078773C" w:rsidRDefault="0078773C" w:rsidP="002E3C2F">
      <w:pPr>
        <w:rPr>
          <w:b/>
          <w:u w:val="single"/>
        </w:rPr>
      </w:pPr>
    </w:p>
    <w:p w:rsidR="0083698A" w:rsidRPr="00667086" w:rsidRDefault="0083698A" w:rsidP="002E3C2F">
      <w:pPr>
        <w:rPr>
          <w:b/>
          <w:sz w:val="24"/>
          <w:szCs w:val="24"/>
          <w:u w:val="single"/>
        </w:rPr>
      </w:pPr>
      <w:r w:rsidRPr="00667086">
        <w:rPr>
          <w:b/>
          <w:sz w:val="24"/>
          <w:szCs w:val="24"/>
          <w:u w:val="single"/>
        </w:rPr>
        <w:t>CAMBIOS</w:t>
      </w:r>
      <w:r w:rsidR="004B678C">
        <w:rPr>
          <w:b/>
          <w:sz w:val="24"/>
          <w:szCs w:val="24"/>
          <w:u w:val="single"/>
        </w:rPr>
        <w:t xml:space="preserve"> EN LA GESTIÓN DE LA EMPRESA.</w:t>
      </w:r>
    </w:p>
    <w:p w:rsidR="00342650" w:rsidRDefault="00342650" w:rsidP="00DD1FB2">
      <w:pPr>
        <w:jc w:val="both"/>
      </w:pPr>
      <w:r>
        <w:t xml:space="preserve">- </w:t>
      </w:r>
      <w:r>
        <w:rPr>
          <w:b/>
        </w:rPr>
        <w:t xml:space="preserve">Proyectos: </w:t>
      </w:r>
      <w:r>
        <w:t xml:space="preserve">Crear una </w:t>
      </w:r>
      <w:r w:rsidRPr="003F4DC2">
        <w:rPr>
          <w:b/>
        </w:rPr>
        <w:t>comisión de seguimiento de proyectos</w:t>
      </w:r>
      <w:r>
        <w:t xml:space="preserve"> donde tenga representación la empresa y el comité.  Esta comisión revisaría el estado de cada proyecto, los beneficios que genera, etc.</w:t>
      </w:r>
    </w:p>
    <w:p w:rsidR="00342650" w:rsidRPr="00342650" w:rsidRDefault="00342650" w:rsidP="00DD1FB2">
      <w:pPr>
        <w:jc w:val="both"/>
      </w:pPr>
      <w:r>
        <w:rPr>
          <w:b/>
        </w:rPr>
        <w:t>- Financiero</w:t>
      </w:r>
      <w:r>
        <w:t>: Crear</w:t>
      </w:r>
      <w:r w:rsidR="00DD1FB2">
        <w:t xml:space="preserve"> una </w:t>
      </w:r>
      <w:r w:rsidR="00DD1FB2" w:rsidRPr="003F4DC2">
        <w:rPr>
          <w:b/>
        </w:rPr>
        <w:t>comisión de seguimiento del estado financiero</w:t>
      </w:r>
      <w:r w:rsidR="00DD1FB2">
        <w:t xml:space="preserve"> de la compañía </w:t>
      </w:r>
      <w:r>
        <w:t>donde tenga representación la empresa y el comité. Está comisión revisaría las cuentas de manera quincenal o mensual, revisando gastos e ingresos.</w:t>
      </w:r>
    </w:p>
    <w:p w:rsidR="00342650" w:rsidRPr="00242D03" w:rsidRDefault="0083698A" w:rsidP="00242D03">
      <w:pPr>
        <w:jc w:val="both"/>
        <w:rPr>
          <w:color w:val="000000" w:themeColor="text1"/>
        </w:rPr>
      </w:pPr>
      <w:r>
        <w:t xml:space="preserve"> </w:t>
      </w:r>
      <w:r w:rsidR="00342650">
        <w:rPr>
          <w:b/>
        </w:rPr>
        <w:t xml:space="preserve">- </w:t>
      </w:r>
      <w:r w:rsidRPr="00342650">
        <w:rPr>
          <w:b/>
        </w:rPr>
        <w:t>Managers y/o Comerciales</w:t>
      </w:r>
      <w:r w:rsidR="00342650">
        <w:rPr>
          <w:b/>
        </w:rPr>
        <w:t>:</w:t>
      </w:r>
      <w:r>
        <w:t xml:space="preserve"> </w:t>
      </w:r>
      <w:r w:rsidR="00242D03">
        <w:t xml:space="preserve">el </w:t>
      </w:r>
      <w:r w:rsidR="00342650">
        <w:t>trabajo</w:t>
      </w:r>
      <w:r w:rsidR="00242D03">
        <w:t xml:space="preserve"> de los managers</w:t>
      </w:r>
      <w:r w:rsidR="00342650">
        <w:t xml:space="preserve"> debe ser má</w:t>
      </w:r>
      <w:r>
        <w:t>s transparente y controlado a nivel global. Es decir, que</w:t>
      </w:r>
      <w:r w:rsidR="003215C7">
        <w:t xml:space="preserve"> los consultores de un manager pueda utilizarlo otro y para eso se debe cambiar la política de organización de la empresa.</w:t>
      </w:r>
      <w:r w:rsidR="00342650">
        <w:t xml:space="preserve"> Se debería separar la función de manager (gestión de consultores) de la labor comercial. </w:t>
      </w:r>
      <w:r w:rsidR="00E4509F" w:rsidRPr="00242D03">
        <w:rPr>
          <w:color w:val="000000" w:themeColor="text1"/>
        </w:rPr>
        <w:t>Se debe elim</w:t>
      </w:r>
      <w:r w:rsidR="00242D03">
        <w:rPr>
          <w:color w:val="000000" w:themeColor="text1"/>
        </w:rPr>
        <w:t>in</w:t>
      </w:r>
      <w:r w:rsidR="00E4509F" w:rsidRPr="00242D03">
        <w:rPr>
          <w:color w:val="000000" w:themeColor="text1"/>
        </w:rPr>
        <w:t>ar la dependencia</w:t>
      </w:r>
      <w:r w:rsidR="000E06E1" w:rsidRPr="00242D03">
        <w:rPr>
          <w:color w:val="000000" w:themeColor="text1"/>
        </w:rPr>
        <w:t xml:space="preserve"> </w:t>
      </w:r>
      <w:proofErr w:type="spellStart"/>
      <w:r w:rsidR="000E06E1" w:rsidRPr="00242D03">
        <w:rPr>
          <w:color w:val="000000" w:themeColor="text1"/>
        </w:rPr>
        <w:t>I</w:t>
      </w:r>
      <w:r w:rsidR="00E4509F" w:rsidRPr="00242D03">
        <w:rPr>
          <w:color w:val="000000" w:themeColor="text1"/>
        </w:rPr>
        <w:t>C</w:t>
      </w:r>
      <w:r w:rsidR="000E06E1" w:rsidRPr="00242D03">
        <w:rPr>
          <w:color w:val="000000" w:themeColor="text1"/>
        </w:rPr>
        <w:t>s</w:t>
      </w:r>
      <w:proofErr w:type="spellEnd"/>
      <w:r w:rsidR="00E4509F" w:rsidRPr="00242D03">
        <w:rPr>
          <w:color w:val="000000" w:themeColor="text1"/>
        </w:rPr>
        <w:t xml:space="preserve"> –</w:t>
      </w:r>
      <w:r w:rsidR="000E06E1" w:rsidRPr="00242D03">
        <w:rPr>
          <w:color w:val="000000" w:themeColor="text1"/>
        </w:rPr>
        <w:t xml:space="preserve"> man</w:t>
      </w:r>
      <w:r w:rsidR="00E4509F" w:rsidRPr="00242D03">
        <w:rPr>
          <w:color w:val="000000" w:themeColor="text1"/>
        </w:rPr>
        <w:t>ager para hacerlo un problema de gestión global.</w:t>
      </w:r>
    </w:p>
    <w:p w:rsidR="000E06E1" w:rsidRPr="00242D03" w:rsidRDefault="000E06E1" w:rsidP="000E06E1">
      <w:pPr>
        <w:rPr>
          <w:color w:val="000000" w:themeColor="text1"/>
        </w:rPr>
      </w:pPr>
      <w:r w:rsidRPr="00203158">
        <w:rPr>
          <w:b/>
          <w:color w:val="000000" w:themeColor="text1"/>
        </w:rPr>
        <w:t>-</w:t>
      </w:r>
      <w:r w:rsidR="004B678C">
        <w:rPr>
          <w:b/>
          <w:color w:val="000000" w:themeColor="text1"/>
        </w:rPr>
        <w:t xml:space="preserve"> </w:t>
      </w:r>
      <w:r w:rsidRPr="00203158">
        <w:rPr>
          <w:b/>
          <w:color w:val="000000" w:themeColor="text1"/>
        </w:rPr>
        <w:t>Formación</w:t>
      </w:r>
      <w:r w:rsidRPr="00242D03">
        <w:rPr>
          <w:color w:val="000000" w:themeColor="text1"/>
        </w:rPr>
        <w:t xml:space="preserve">: Foro </w:t>
      </w:r>
      <w:r w:rsidRPr="00242D03">
        <w:rPr>
          <w:b/>
          <w:color w:val="000000" w:themeColor="text1"/>
        </w:rPr>
        <w:t>continúo</w:t>
      </w:r>
      <w:r w:rsidRPr="00242D03">
        <w:rPr>
          <w:color w:val="000000" w:themeColor="text1"/>
        </w:rPr>
        <w:t xml:space="preserve"> de formación. Todos los trabajadores en alta en </w:t>
      </w:r>
      <w:proofErr w:type="spellStart"/>
      <w:r w:rsidRPr="00242D03">
        <w:rPr>
          <w:color w:val="000000" w:themeColor="text1"/>
        </w:rPr>
        <w:t>Alten</w:t>
      </w:r>
      <w:proofErr w:type="spellEnd"/>
      <w:r w:rsidRPr="00242D03">
        <w:rPr>
          <w:color w:val="000000" w:themeColor="text1"/>
        </w:rPr>
        <w:t xml:space="preserve"> deben tener un </w:t>
      </w:r>
      <w:proofErr w:type="spellStart"/>
      <w:r w:rsidRPr="00242D03">
        <w:rPr>
          <w:color w:val="000000" w:themeColor="text1"/>
        </w:rPr>
        <w:t>login</w:t>
      </w:r>
      <w:proofErr w:type="spellEnd"/>
      <w:r w:rsidRPr="00242D03">
        <w:rPr>
          <w:color w:val="000000" w:themeColor="text1"/>
        </w:rPr>
        <w:t>.</w:t>
      </w:r>
      <w:r w:rsidR="00242D03" w:rsidRPr="00242D03">
        <w:rPr>
          <w:color w:val="000000" w:themeColor="text1"/>
        </w:rPr>
        <w:t xml:space="preserve"> </w:t>
      </w:r>
      <w:r w:rsidRPr="00242D03">
        <w:rPr>
          <w:color w:val="000000" w:themeColor="text1"/>
        </w:rPr>
        <w:t xml:space="preserve">No dejar </w:t>
      </w:r>
      <w:r w:rsidR="00242D03" w:rsidRPr="00242D03">
        <w:rPr>
          <w:color w:val="000000" w:themeColor="text1"/>
        </w:rPr>
        <w:t xml:space="preserve">los </w:t>
      </w:r>
      <w:r w:rsidRPr="00242D03">
        <w:rPr>
          <w:color w:val="000000" w:themeColor="text1"/>
        </w:rPr>
        <w:t>gasto</w:t>
      </w:r>
      <w:r w:rsidR="00242D03" w:rsidRPr="00242D03">
        <w:rPr>
          <w:color w:val="000000" w:themeColor="text1"/>
        </w:rPr>
        <w:t>s</w:t>
      </w:r>
      <w:r w:rsidRPr="00242D03">
        <w:rPr>
          <w:color w:val="000000" w:themeColor="text1"/>
        </w:rPr>
        <w:t xml:space="preserve"> </w:t>
      </w:r>
      <w:r w:rsidR="00242D03" w:rsidRPr="00242D03">
        <w:rPr>
          <w:color w:val="000000" w:themeColor="text1"/>
        </w:rPr>
        <w:t xml:space="preserve">de formación </w:t>
      </w:r>
      <w:r w:rsidRPr="00242D03">
        <w:rPr>
          <w:color w:val="000000" w:themeColor="text1"/>
        </w:rPr>
        <w:t xml:space="preserve">en manos de los managers sino de un </w:t>
      </w:r>
      <w:r w:rsidRPr="003F4DC2">
        <w:rPr>
          <w:b/>
          <w:color w:val="000000" w:themeColor="text1"/>
        </w:rPr>
        <w:t>departamento estatal de formación</w:t>
      </w:r>
      <w:r w:rsidRPr="00242D03">
        <w:rPr>
          <w:color w:val="000000" w:themeColor="text1"/>
        </w:rPr>
        <w:t xml:space="preserve"> donde tengan representación </w:t>
      </w:r>
      <w:r w:rsidR="00242D03" w:rsidRPr="00242D03">
        <w:rPr>
          <w:color w:val="000000" w:themeColor="text1"/>
        </w:rPr>
        <w:t xml:space="preserve">la RLT </w:t>
      </w:r>
      <w:r w:rsidRPr="00242D03">
        <w:rPr>
          <w:color w:val="000000" w:themeColor="text1"/>
        </w:rPr>
        <w:t>y la empresa.</w:t>
      </w:r>
      <w:r w:rsidR="00E4509F" w:rsidRPr="00242D03">
        <w:rPr>
          <w:color w:val="000000" w:themeColor="text1"/>
        </w:rPr>
        <w:t xml:space="preserve"> </w:t>
      </w:r>
      <w:r w:rsidRPr="00242D03">
        <w:rPr>
          <w:color w:val="000000" w:themeColor="text1"/>
        </w:rPr>
        <w:t>Dotarlo del presupuesto para formación al menos con la parte que destinaron los managers el año pasado a formación.</w:t>
      </w:r>
      <w:r w:rsidR="00E4509F" w:rsidRPr="00242D03">
        <w:rPr>
          <w:color w:val="000000" w:themeColor="text1"/>
        </w:rPr>
        <w:t xml:space="preserve"> El objetivo es llegar antes a tener formados consultores en las novedades tecnológicas en lugar de ir por detrás del mercado. </w:t>
      </w:r>
    </w:p>
    <w:p w:rsidR="000E06E1" w:rsidRPr="00242D03" w:rsidRDefault="000E06E1" w:rsidP="002E3C2F">
      <w:pPr>
        <w:rPr>
          <w:color w:val="000000" w:themeColor="text1"/>
        </w:rPr>
      </w:pPr>
      <w:r w:rsidRPr="00242D03">
        <w:rPr>
          <w:color w:val="000000" w:themeColor="text1"/>
        </w:rPr>
        <w:t xml:space="preserve">Los trabajadores pueden proponer formación concreta </w:t>
      </w:r>
      <w:r w:rsidR="00242D03" w:rsidRPr="00242D03">
        <w:rPr>
          <w:color w:val="000000" w:themeColor="text1"/>
        </w:rPr>
        <w:t xml:space="preserve">en la tecnología </w:t>
      </w:r>
      <w:r w:rsidRPr="00242D03">
        <w:rPr>
          <w:color w:val="000000" w:themeColor="text1"/>
        </w:rPr>
        <w:t xml:space="preserve">que quieren recibir y si son secundados por un número significativo </w:t>
      </w:r>
      <w:r w:rsidR="00242D03" w:rsidRPr="00242D03">
        <w:rPr>
          <w:color w:val="000000" w:themeColor="text1"/>
        </w:rPr>
        <w:t xml:space="preserve">de trabajadores </w:t>
      </w:r>
      <w:r w:rsidRPr="00242D03">
        <w:rPr>
          <w:color w:val="000000" w:themeColor="text1"/>
        </w:rPr>
        <w:t xml:space="preserve">(5+) </w:t>
      </w:r>
      <w:r w:rsidR="00242D03" w:rsidRPr="00242D03">
        <w:rPr>
          <w:color w:val="000000" w:themeColor="text1"/>
        </w:rPr>
        <w:t xml:space="preserve">la empresa </w:t>
      </w:r>
      <w:r w:rsidRPr="00242D03">
        <w:rPr>
          <w:color w:val="000000" w:themeColor="text1"/>
        </w:rPr>
        <w:t>debe plantearse seriamente la fo</w:t>
      </w:r>
      <w:r w:rsidR="00242D03" w:rsidRPr="00242D03">
        <w:rPr>
          <w:color w:val="000000" w:themeColor="text1"/>
        </w:rPr>
        <w:t>rmación. Los trabajadores tambié</w:t>
      </w:r>
      <w:r w:rsidRPr="00242D03">
        <w:rPr>
          <w:color w:val="000000" w:themeColor="text1"/>
        </w:rPr>
        <w:t>n deben poder ofrecerse como formadores en horario laboral.</w:t>
      </w:r>
    </w:p>
    <w:p w:rsidR="00E4509F" w:rsidRPr="00242D03" w:rsidRDefault="00E4509F" w:rsidP="002E3C2F">
      <w:pPr>
        <w:rPr>
          <w:color w:val="000000" w:themeColor="text1"/>
        </w:rPr>
      </w:pPr>
      <w:r w:rsidRPr="00242D03">
        <w:rPr>
          <w:color w:val="000000" w:themeColor="text1"/>
        </w:rPr>
        <w:t>Lo managers podrán plantear la formación que estiman necesaria en el mismo foro lo que permitirá hacer un seguimiento de la efectividad de sus previsiones.</w:t>
      </w:r>
    </w:p>
    <w:p w:rsidR="0078773C" w:rsidRPr="00242D03" w:rsidRDefault="003F4DC2" w:rsidP="002E3C2F">
      <w:pPr>
        <w:rPr>
          <w:color w:val="000000" w:themeColor="text1"/>
        </w:rPr>
      </w:pPr>
      <w:r>
        <w:rPr>
          <w:color w:val="000000" w:themeColor="text1"/>
        </w:rPr>
        <w:t xml:space="preserve">Los cursos deben ser de calidad y debe hacerse un seguimiento de la satisfacción de los trabajadores que lo reciben. </w:t>
      </w:r>
    </w:p>
    <w:sectPr w:rsidR="0078773C" w:rsidRPr="00242D03" w:rsidSect="002E3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2E6"/>
    <w:multiLevelType w:val="hybridMultilevel"/>
    <w:tmpl w:val="DFECF4B6"/>
    <w:lvl w:ilvl="0" w:tplc="3506A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0EDB"/>
    <w:multiLevelType w:val="hybridMultilevel"/>
    <w:tmpl w:val="8BC0C654"/>
    <w:lvl w:ilvl="0" w:tplc="24BA4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C2F"/>
    <w:rsid w:val="000061B0"/>
    <w:rsid w:val="00043F05"/>
    <w:rsid w:val="000552BB"/>
    <w:rsid w:val="000A7C9B"/>
    <w:rsid w:val="000E06E1"/>
    <w:rsid w:val="000E4A03"/>
    <w:rsid w:val="0013054D"/>
    <w:rsid w:val="001A6011"/>
    <w:rsid w:val="001C587C"/>
    <w:rsid w:val="00203158"/>
    <w:rsid w:val="002143BA"/>
    <w:rsid w:val="00236EF3"/>
    <w:rsid w:val="00242D03"/>
    <w:rsid w:val="00271760"/>
    <w:rsid w:val="00276DB0"/>
    <w:rsid w:val="002775F2"/>
    <w:rsid w:val="002D3E44"/>
    <w:rsid w:val="002D5611"/>
    <w:rsid w:val="002E3C2F"/>
    <w:rsid w:val="003215C7"/>
    <w:rsid w:val="00342650"/>
    <w:rsid w:val="00354107"/>
    <w:rsid w:val="00356F30"/>
    <w:rsid w:val="003607D4"/>
    <w:rsid w:val="00391A83"/>
    <w:rsid w:val="003A4A06"/>
    <w:rsid w:val="003F486E"/>
    <w:rsid w:val="003F4DC2"/>
    <w:rsid w:val="00437A5C"/>
    <w:rsid w:val="00475FEF"/>
    <w:rsid w:val="004A38BF"/>
    <w:rsid w:val="004B678C"/>
    <w:rsid w:val="004C3F1C"/>
    <w:rsid w:val="004C4CE9"/>
    <w:rsid w:val="004F7172"/>
    <w:rsid w:val="00565513"/>
    <w:rsid w:val="00581528"/>
    <w:rsid w:val="005C4F59"/>
    <w:rsid w:val="005D1FD1"/>
    <w:rsid w:val="005F4ED4"/>
    <w:rsid w:val="00667086"/>
    <w:rsid w:val="006A4E4B"/>
    <w:rsid w:val="006E45DB"/>
    <w:rsid w:val="006F560D"/>
    <w:rsid w:val="00734FD7"/>
    <w:rsid w:val="0078773C"/>
    <w:rsid w:val="007D0FCD"/>
    <w:rsid w:val="0083698A"/>
    <w:rsid w:val="008762F7"/>
    <w:rsid w:val="008B2C69"/>
    <w:rsid w:val="008C4885"/>
    <w:rsid w:val="008D7687"/>
    <w:rsid w:val="00906C28"/>
    <w:rsid w:val="009842BC"/>
    <w:rsid w:val="00A3048C"/>
    <w:rsid w:val="00A8799A"/>
    <w:rsid w:val="00B5107C"/>
    <w:rsid w:val="00B538CA"/>
    <w:rsid w:val="00C02815"/>
    <w:rsid w:val="00DD1FB2"/>
    <w:rsid w:val="00DE0D28"/>
    <w:rsid w:val="00DF2F0B"/>
    <w:rsid w:val="00E24C65"/>
    <w:rsid w:val="00E4509F"/>
    <w:rsid w:val="00E81066"/>
    <w:rsid w:val="00E85E2D"/>
    <w:rsid w:val="00E96607"/>
    <w:rsid w:val="00F01955"/>
    <w:rsid w:val="00F5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C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3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Alten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Borraz Gomez</dc:creator>
  <cp:lastModifiedBy> </cp:lastModifiedBy>
  <cp:revision>2</cp:revision>
  <dcterms:created xsi:type="dcterms:W3CDTF">2013-01-14T17:08:00Z</dcterms:created>
  <dcterms:modified xsi:type="dcterms:W3CDTF">2013-01-14T17:08:00Z</dcterms:modified>
</cp:coreProperties>
</file>